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A00" w:rsidRPr="00960059" w:rsidRDefault="00700CE3" w:rsidP="00F73A00">
      <w:pPr>
        <w:widowControl w:val="0"/>
        <w:jc w:val="center"/>
        <w:rPr>
          <w:rFonts w:asciiTheme="minorHAnsi" w:hAnsiTheme="minorHAnsi" w:cstheme="minorHAnsi"/>
          <w:sz w:val="18"/>
          <w:szCs w:val="18"/>
        </w:rPr>
      </w:pPr>
      <w:r w:rsidRPr="00960059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60288" behindDoc="0" locked="0" layoutInCell="1" allowOverlap="1" wp14:anchorId="4B072E7E" wp14:editId="6D8F6685">
            <wp:simplePos x="0" y="0"/>
            <wp:positionH relativeFrom="column">
              <wp:posOffset>-12700</wp:posOffset>
            </wp:positionH>
            <wp:positionV relativeFrom="paragraph">
              <wp:posOffset>-55880</wp:posOffset>
            </wp:positionV>
            <wp:extent cx="1168400" cy="461211"/>
            <wp:effectExtent l="0" t="0" r="0" b="0"/>
            <wp:wrapNone/>
            <wp:docPr id="14" name="Picture 14" descr="_CU_Horiz_Red_S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_CU_Horiz_Red_S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0" cy="461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60059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9264" behindDoc="0" locked="0" layoutInCell="1" allowOverlap="1" wp14:anchorId="315CF8D9" wp14:editId="56C37279">
            <wp:simplePos x="0" y="0"/>
            <wp:positionH relativeFrom="column">
              <wp:posOffset>5702300</wp:posOffset>
            </wp:positionH>
            <wp:positionV relativeFrom="paragraph">
              <wp:posOffset>33020</wp:posOffset>
            </wp:positionV>
            <wp:extent cx="1054100" cy="308615"/>
            <wp:effectExtent l="0" t="0" r="0" b="0"/>
            <wp:wrapNone/>
            <wp:docPr id="9" name="Picture 9" descr="LEE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EE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100" cy="308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73A00" w:rsidRPr="00960059" w:rsidRDefault="00F73A00" w:rsidP="00F73A00">
      <w:pPr>
        <w:widowControl w:val="0"/>
        <w:jc w:val="center"/>
        <w:rPr>
          <w:rFonts w:asciiTheme="minorHAnsi" w:hAnsiTheme="minorHAnsi" w:cstheme="minorHAnsi"/>
          <w:sz w:val="18"/>
          <w:szCs w:val="18"/>
        </w:rPr>
      </w:pPr>
    </w:p>
    <w:p w:rsidR="00F73A00" w:rsidRPr="00960059" w:rsidRDefault="00F73A00" w:rsidP="00F73A00">
      <w:pPr>
        <w:widowControl w:val="0"/>
        <w:jc w:val="center"/>
        <w:rPr>
          <w:rFonts w:asciiTheme="minorHAnsi" w:hAnsiTheme="minorHAnsi" w:cstheme="minorHAnsi"/>
          <w:sz w:val="18"/>
          <w:szCs w:val="18"/>
        </w:rPr>
      </w:pPr>
    </w:p>
    <w:p w:rsidR="00F73A00" w:rsidRPr="000C598A" w:rsidRDefault="00F73A00" w:rsidP="00F73A00">
      <w:pPr>
        <w:widowControl w:val="0"/>
        <w:jc w:val="center"/>
        <w:rPr>
          <w:rFonts w:ascii="Calibri" w:hAnsi="Calibri" w:cs="Calibri"/>
          <w:b/>
          <w:bCs/>
          <w:color w:val="231F20"/>
          <w:sz w:val="32"/>
          <w:szCs w:val="32"/>
        </w:rPr>
      </w:pPr>
      <w:r w:rsidRPr="000C598A">
        <w:rPr>
          <w:rFonts w:ascii="Calibri" w:hAnsi="Calibri" w:cs="Calibri"/>
          <w:b/>
          <w:bCs/>
          <w:color w:val="231F20"/>
          <w:sz w:val="32"/>
          <w:szCs w:val="32"/>
        </w:rPr>
        <w:t>STUDY AWAY FINANCIAL AID AND BUDGET MANAGEMENT PLAN</w:t>
      </w:r>
    </w:p>
    <w:p w:rsidR="00700CE3" w:rsidRDefault="00F73A00" w:rsidP="00700CE3">
      <w:pPr>
        <w:rPr>
          <w:rFonts w:asciiTheme="minorHAnsi" w:hAnsiTheme="minorHAnsi" w:cstheme="minorHAnsi"/>
          <w:b/>
          <w:bCs/>
          <w:sz w:val="22"/>
        </w:rPr>
      </w:pPr>
      <w:r w:rsidRPr="000C598A">
        <w:rPr>
          <w:rFonts w:ascii="Calibri" w:hAnsi="Calibri" w:cs="Calibri"/>
          <w:b/>
          <w:color w:val="231F20"/>
          <w:sz w:val="24"/>
          <w:szCs w:val="24"/>
        </w:rPr>
        <w:t>Name:  ______________</w:t>
      </w:r>
      <w:r w:rsidR="00FA744F">
        <w:rPr>
          <w:rFonts w:ascii="Calibri" w:hAnsi="Calibri" w:cs="Calibri"/>
          <w:b/>
          <w:color w:val="231F20"/>
          <w:sz w:val="24"/>
          <w:szCs w:val="24"/>
        </w:rPr>
        <w:t>__</w:t>
      </w:r>
      <w:r w:rsidRPr="000C598A">
        <w:rPr>
          <w:rFonts w:ascii="Calibri" w:hAnsi="Calibri" w:cs="Calibri"/>
          <w:b/>
          <w:color w:val="231F20"/>
          <w:sz w:val="24"/>
          <w:szCs w:val="24"/>
        </w:rPr>
        <w:t>_____________</w:t>
      </w:r>
      <w:proofErr w:type="gramStart"/>
      <w:r w:rsidRPr="000C598A">
        <w:rPr>
          <w:rFonts w:ascii="Calibri" w:hAnsi="Calibri" w:cs="Calibri"/>
          <w:b/>
          <w:color w:val="231F20"/>
          <w:sz w:val="24"/>
          <w:szCs w:val="24"/>
        </w:rPr>
        <w:t xml:space="preserve">_ </w:t>
      </w:r>
      <w:r w:rsidR="00700CE3">
        <w:rPr>
          <w:rFonts w:ascii="Calibri" w:hAnsi="Calibri" w:cs="Calibri"/>
          <w:b/>
          <w:color w:val="231F20"/>
          <w:sz w:val="24"/>
          <w:szCs w:val="24"/>
        </w:rPr>
        <w:t xml:space="preserve"> </w:t>
      </w:r>
      <w:r w:rsidRPr="000C598A">
        <w:rPr>
          <w:rFonts w:ascii="Calibri" w:hAnsi="Calibri" w:cs="Calibri"/>
          <w:b/>
          <w:color w:val="231F20"/>
          <w:sz w:val="24"/>
          <w:szCs w:val="24"/>
        </w:rPr>
        <w:t>Term</w:t>
      </w:r>
      <w:proofErr w:type="gramEnd"/>
      <w:r w:rsidRPr="000C598A">
        <w:rPr>
          <w:rFonts w:ascii="Calibri" w:hAnsi="Calibri" w:cs="Calibri"/>
          <w:b/>
          <w:color w:val="231F20"/>
          <w:sz w:val="24"/>
          <w:szCs w:val="24"/>
        </w:rPr>
        <w:t xml:space="preserve"> Away: ____</w:t>
      </w:r>
      <w:r w:rsidR="00FA744F">
        <w:rPr>
          <w:rFonts w:ascii="Calibri" w:hAnsi="Calibri" w:cs="Calibri"/>
          <w:b/>
          <w:color w:val="231F20"/>
          <w:sz w:val="24"/>
          <w:szCs w:val="24"/>
        </w:rPr>
        <w:t>______</w:t>
      </w:r>
      <w:r w:rsidR="00700CE3">
        <w:rPr>
          <w:rFonts w:ascii="Calibri" w:hAnsi="Calibri" w:cs="Calibri"/>
          <w:b/>
          <w:color w:val="231F20"/>
          <w:sz w:val="24"/>
          <w:szCs w:val="24"/>
        </w:rPr>
        <w:t xml:space="preserve"> Program: _______________________</w:t>
      </w:r>
    </w:p>
    <w:p w:rsidR="00700CE3" w:rsidRPr="00700CE3" w:rsidRDefault="00700CE3" w:rsidP="00700CE3">
      <w:pPr>
        <w:jc w:val="center"/>
        <w:rPr>
          <w:rFonts w:asciiTheme="minorHAnsi" w:hAnsiTheme="minorHAnsi" w:cstheme="minorHAnsi"/>
          <w:i/>
        </w:rPr>
      </w:pPr>
      <w:r w:rsidRPr="00700CE3">
        <w:rPr>
          <w:rFonts w:asciiTheme="minorHAnsi" w:hAnsiTheme="minorHAnsi" w:cstheme="minorHAnsi"/>
          <w:i/>
        </w:rPr>
        <w:t xml:space="preserve">This form is an exercise to help you understand the actual costs of your program and how much to budget.  </w:t>
      </w:r>
    </w:p>
    <w:p w:rsidR="00700CE3" w:rsidRPr="00700CE3" w:rsidRDefault="00700CE3" w:rsidP="00700CE3">
      <w:pPr>
        <w:jc w:val="center"/>
        <w:rPr>
          <w:rFonts w:asciiTheme="minorHAnsi" w:hAnsiTheme="minorHAnsi" w:cstheme="minorHAnsi"/>
          <w:i/>
        </w:rPr>
      </w:pPr>
      <w:r w:rsidRPr="00700CE3">
        <w:rPr>
          <w:rFonts w:asciiTheme="minorHAnsi" w:hAnsiTheme="minorHAnsi" w:cstheme="minorHAnsi"/>
          <w:i/>
        </w:rPr>
        <w:t xml:space="preserve">This is not a bill and actual amounts may change. Questions about your financial aid package </w:t>
      </w:r>
      <w:proofErr w:type="gramStart"/>
      <w:r w:rsidRPr="00700CE3">
        <w:rPr>
          <w:rFonts w:asciiTheme="minorHAnsi" w:hAnsiTheme="minorHAnsi" w:cstheme="minorHAnsi"/>
          <w:i/>
        </w:rPr>
        <w:t>should be directed</w:t>
      </w:r>
      <w:proofErr w:type="gramEnd"/>
      <w:r w:rsidRPr="00700CE3">
        <w:rPr>
          <w:rFonts w:asciiTheme="minorHAnsi" w:hAnsiTheme="minorHAnsi" w:cstheme="minorHAnsi"/>
          <w:i/>
        </w:rPr>
        <w:t xml:space="preserve"> to the Office of Financial Assistance at (508) 793-4748 or </w:t>
      </w:r>
      <w:hyperlink r:id="rId8" w:history="1">
        <w:r w:rsidRPr="00700CE3">
          <w:rPr>
            <w:rStyle w:val="Hyperlink"/>
            <w:rFonts w:asciiTheme="minorHAnsi" w:hAnsiTheme="minorHAnsi" w:cstheme="minorHAnsi"/>
            <w:i/>
          </w:rPr>
          <w:t>finaid@clarku.edu</w:t>
        </w:r>
      </w:hyperlink>
      <w:r w:rsidRPr="00700CE3">
        <w:rPr>
          <w:rFonts w:asciiTheme="minorHAnsi" w:hAnsiTheme="minorHAnsi" w:cstheme="minorHAnsi"/>
          <w:i/>
        </w:rPr>
        <w:t>.</w:t>
      </w:r>
    </w:p>
    <w:tbl>
      <w:tblPr>
        <w:tblpPr w:leftFromText="180" w:rightFromText="180" w:vertAnchor="text" w:horzAnchor="margin" w:tblpY="113"/>
        <w:tblW w:w="10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5"/>
        <w:gridCol w:w="2610"/>
      </w:tblGrid>
      <w:tr w:rsidR="00700CE3" w:rsidTr="00700CE3">
        <w:tc>
          <w:tcPr>
            <w:tcW w:w="8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hideMark/>
          </w:tcPr>
          <w:p w:rsidR="00700CE3" w:rsidRPr="00700CE3" w:rsidRDefault="00700CE3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</w:rPr>
            </w:pPr>
            <w:r w:rsidRPr="00700CE3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</w:rPr>
              <w:t>Expenses Payable to Clark University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700CE3" w:rsidRDefault="00700CE3">
            <w:pPr>
              <w:widowControl w:val="0"/>
              <w:spacing w:line="360" w:lineRule="auto"/>
              <w:jc w:val="center"/>
              <w:rPr>
                <w:rFonts w:ascii="Calibri" w:hAnsi="Calibri" w:cs="Calibri"/>
                <w:color w:val="FFFFFF"/>
                <w:sz w:val="22"/>
                <w:szCs w:val="22"/>
              </w:rPr>
            </w:pPr>
          </w:p>
        </w:tc>
      </w:tr>
      <w:tr w:rsidR="00700CE3" w:rsidTr="00700CE3">
        <w:tc>
          <w:tcPr>
            <w:tcW w:w="8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00CE3" w:rsidRDefault="00700CE3">
            <w:pPr>
              <w:widowControl w:val="0"/>
              <w:jc w:val="right"/>
              <w:rPr>
                <w:rFonts w:ascii="Calibri" w:hAnsi="Calibri" w:cs="Calibri"/>
                <w:b/>
                <w:bCs/>
                <w:color w:val="231F2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231F20"/>
                <w:sz w:val="24"/>
                <w:szCs w:val="24"/>
              </w:rPr>
              <w:t xml:space="preserve">Semester Tuition </w:t>
            </w:r>
          </w:p>
          <w:p w:rsidR="00700CE3" w:rsidRDefault="00700CE3">
            <w:pPr>
              <w:widowControl w:val="0"/>
              <w:jc w:val="right"/>
              <w:rPr>
                <w:rFonts w:ascii="Calibri" w:hAnsi="Calibri" w:cs="Calibri"/>
                <w:bCs/>
                <w:i/>
                <w:color w:val="231F20"/>
                <w:szCs w:val="24"/>
              </w:rPr>
            </w:pPr>
            <w:r>
              <w:rPr>
                <w:rFonts w:ascii="Calibri" w:hAnsi="Calibri" w:cs="Calibri"/>
                <w:bCs/>
                <w:i/>
                <w:color w:val="231F20"/>
                <w:szCs w:val="24"/>
              </w:rPr>
              <w:t>Students on Clark-approved programs will pay tuition to Clark and will not pay the “educational expenses” of the program cost.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0CE3" w:rsidRDefault="00700CE3">
            <w:pPr>
              <w:widowControl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$22,865</w:t>
            </w:r>
          </w:p>
          <w:p w:rsidR="00700CE3" w:rsidRDefault="00700CE3">
            <w:pPr>
              <w:widowControl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00CE3" w:rsidTr="00700CE3">
        <w:tc>
          <w:tcPr>
            <w:tcW w:w="8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00CE3" w:rsidRDefault="00700CE3">
            <w:pPr>
              <w:widowControl w:val="0"/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Clark Study Abroad Fee</w:t>
            </w:r>
          </w:p>
          <w:p w:rsidR="00700CE3" w:rsidRDefault="00700CE3">
            <w:pPr>
              <w:widowControl w:val="0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Cs w:val="22"/>
              </w:rPr>
              <w:t xml:space="preserve">This fee </w:t>
            </w:r>
            <w:proofErr w:type="gramStart"/>
            <w:r>
              <w:rPr>
                <w:rFonts w:ascii="Calibri" w:hAnsi="Calibri" w:cs="Calibri"/>
                <w:i/>
                <w:szCs w:val="22"/>
              </w:rPr>
              <w:t>will be charged</w:t>
            </w:r>
            <w:proofErr w:type="gramEnd"/>
            <w:r>
              <w:rPr>
                <w:rFonts w:ascii="Calibri" w:hAnsi="Calibri" w:cs="Calibri"/>
                <w:i/>
                <w:szCs w:val="22"/>
              </w:rPr>
              <w:t xml:space="preserve"> to your student account at the same time as tuition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. 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00CE3" w:rsidRDefault="00700CE3">
            <w:pPr>
              <w:widowControl w:val="0"/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$1,000</w:t>
            </w:r>
          </w:p>
        </w:tc>
      </w:tr>
      <w:tr w:rsidR="00700CE3" w:rsidTr="00700CE3">
        <w:tc>
          <w:tcPr>
            <w:tcW w:w="8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700CE3" w:rsidRDefault="00700CE3">
            <w:pPr>
              <w:widowControl w:val="0"/>
              <w:jc w:val="right"/>
              <w:rPr>
                <w:rFonts w:ascii="Calibri" w:hAnsi="Calibri" w:cs="Calibri"/>
                <w:b/>
                <w:bCs/>
                <w:color w:val="231F2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231F20"/>
                <w:sz w:val="24"/>
                <w:szCs w:val="24"/>
              </w:rPr>
              <w:t>Clark Tuition &amp; Fees</w:t>
            </w:r>
          </w:p>
          <w:p w:rsidR="00700CE3" w:rsidRDefault="00700CE3">
            <w:pPr>
              <w:widowControl w:val="0"/>
              <w:jc w:val="right"/>
              <w:rPr>
                <w:rFonts w:ascii="Calibri" w:hAnsi="Calibri" w:cs="Calibri"/>
                <w:bCs/>
                <w:i/>
                <w:color w:val="231F20"/>
                <w:szCs w:val="24"/>
              </w:rPr>
            </w:pPr>
            <w:r>
              <w:rPr>
                <w:rFonts w:ascii="Calibri" w:hAnsi="Calibri" w:cs="Calibri"/>
                <w:bCs/>
                <w:i/>
                <w:color w:val="231F20"/>
                <w:szCs w:val="24"/>
              </w:rPr>
              <w:t xml:space="preserve">For </w:t>
            </w:r>
            <w:proofErr w:type="gramStart"/>
            <w:r>
              <w:rPr>
                <w:rFonts w:ascii="Calibri" w:hAnsi="Calibri" w:cs="Calibri"/>
                <w:bCs/>
                <w:i/>
                <w:color w:val="231F20"/>
                <w:szCs w:val="24"/>
              </w:rPr>
              <w:t>year-long</w:t>
            </w:r>
            <w:proofErr w:type="gramEnd"/>
            <w:r>
              <w:rPr>
                <w:rFonts w:ascii="Calibri" w:hAnsi="Calibri" w:cs="Calibri"/>
                <w:bCs/>
                <w:i/>
                <w:color w:val="231F20"/>
                <w:szCs w:val="24"/>
              </w:rPr>
              <w:t xml:space="preserve"> programs, double the cost of tuition and fees.  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700CE3" w:rsidRDefault="00700CE3">
            <w:pPr>
              <w:widowControl w:val="0"/>
              <w:spacing w:line="36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$23,865</w:t>
            </w:r>
          </w:p>
        </w:tc>
      </w:tr>
      <w:tr w:rsidR="00700CE3" w:rsidTr="00700CE3">
        <w:tc>
          <w:tcPr>
            <w:tcW w:w="8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00CE3" w:rsidRDefault="00700CE3">
            <w:pPr>
              <w:widowControl w:val="0"/>
              <w:spacing w:line="360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GeoBlue insurance </w:t>
            </w:r>
            <w:r>
              <w:rPr>
                <w:rFonts w:ascii="Calibri" w:hAnsi="Calibri" w:cs="Calibri"/>
                <w:i/>
                <w:szCs w:val="22"/>
              </w:rPr>
              <w:t>(if applicable; approximately $50/month)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0CE3" w:rsidRDefault="00700CE3">
            <w:pPr>
              <w:widowControl w:val="0"/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00CE3" w:rsidTr="00700CE3">
        <w:trPr>
          <w:trHeight w:val="386"/>
        </w:trPr>
        <w:tc>
          <w:tcPr>
            <w:tcW w:w="8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700CE3" w:rsidRDefault="00700CE3">
            <w:pPr>
              <w:widowControl w:val="0"/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4"/>
                <w:szCs w:val="22"/>
              </w:rPr>
              <w:t>Total Clark Charges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700CE3" w:rsidRDefault="00700CE3">
            <w:pPr>
              <w:widowControl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00CE3" w:rsidTr="00700CE3">
        <w:tc>
          <w:tcPr>
            <w:tcW w:w="8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hideMark/>
          </w:tcPr>
          <w:p w:rsidR="00700CE3" w:rsidRPr="00700CE3" w:rsidRDefault="00700CE3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</w:rPr>
            </w:pPr>
            <w:r w:rsidRPr="00700CE3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</w:rPr>
              <w:t xml:space="preserve">Expenses Payable to Program  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700CE3" w:rsidRDefault="00700CE3">
            <w:pPr>
              <w:widowControl w:val="0"/>
              <w:spacing w:line="360" w:lineRule="auto"/>
              <w:jc w:val="center"/>
              <w:rPr>
                <w:rFonts w:ascii="Calibri" w:hAnsi="Calibri" w:cs="Calibri"/>
                <w:color w:val="FFFFFF"/>
                <w:sz w:val="22"/>
                <w:szCs w:val="22"/>
              </w:rPr>
            </w:pPr>
          </w:p>
        </w:tc>
      </w:tr>
      <w:tr w:rsidR="00700CE3" w:rsidTr="00700CE3">
        <w:tc>
          <w:tcPr>
            <w:tcW w:w="8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CE3" w:rsidRDefault="00700CE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color w:val="231F2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231F20"/>
                <w:sz w:val="24"/>
                <w:szCs w:val="24"/>
              </w:rPr>
              <w:t>Housing</w:t>
            </w:r>
          </w:p>
          <w:p w:rsidR="00700CE3" w:rsidRDefault="00700CE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i/>
                <w:color w:val="231F20"/>
                <w:sz w:val="28"/>
                <w:szCs w:val="28"/>
                <w:u w:val="single"/>
              </w:rPr>
            </w:pPr>
            <w:r>
              <w:rPr>
                <w:rFonts w:ascii="Calibri" w:hAnsi="Calibri" w:cs="Calibri"/>
                <w:i/>
                <w:color w:val="231F20"/>
                <w:szCs w:val="24"/>
              </w:rPr>
              <w:t xml:space="preserve">Students will pay housing costs and any other fees directly to the program. 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CE3" w:rsidRDefault="00700CE3">
            <w:pPr>
              <w:widowControl w:val="0"/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00CE3" w:rsidTr="00700CE3">
        <w:tc>
          <w:tcPr>
            <w:tcW w:w="8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CE3" w:rsidRDefault="00700CE3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Calibri" w:hAnsi="Calibri" w:cs="Calibri"/>
                <w:color w:val="231F2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231F20"/>
                <w:sz w:val="24"/>
                <w:szCs w:val="24"/>
              </w:rPr>
              <w:t>Other program fees</w:t>
            </w:r>
            <w:r>
              <w:rPr>
                <w:rFonts w:ascii="Calibri" w:hAnsi="Calibri" w:cs="Calibri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i/>
                <w:color w:val="231F20"/>
                <w:sz w:val="22"/>
                <w:szCs w:val="24"/>
              </w:rPr>
              <w:t>(medical insurance, deposits, course fees, etc.)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CE3" w:rsidRDefault="00700CE3">
            <w:pPr>
              <w:widowControl w:val="0"/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00CE3" w:rsidTr="00700CE3">
        <w:tc>
          <w:tcPr>
            <w:tcW w:w="8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700CE3" w:rsidRDefault="00700CE3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Calibri" w:hAnsi="Calibri" w:cs="Calibri"/>
                <w:color w:val="231F2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231F20"/>
                <w:sz w:val="24"/>
                <w:szCs w:val="24"/>
              </w:rPr>
              <w:t>Total Program Charges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700CE3" w:rsidRDefault="00700CE3">
            <w:pPr>
              <w:widowControl w:val="0"/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00CE3" w:rsidTr="00700CE3">
        <w:tc>
          <w:tcPr>
            <w:tcW w:w="8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700CE3" w:rsidRDefault="00700CE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i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i/>
                <w:sz w:val="24"/>
                <w:szCs w:val="24"/>
              </w:rPr>
              <w:t xml:space="preserve">Total Clark charges + program charges = </w:t>
            </w:r>
          </w:p>
          <w:p w:rsidR="00700CE3" w:rsidRDefault="00700CE3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i/>
                <w:color w:val="231F2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i/>
                <w:sz w:val="18"/>
                <w:szCs w:val="24"/>
              </w:rPr>
              <w:t xml:space="preserve">*These are the total amount of charges that you should expect to </w:t>
            </w:r>
            <w:proofErr w:type="gramStart"/>
            <w:r>
              <w:rPr>
                <w:rFonts w:ascii="Calibri" w:hAnsi="Calibri" w:cs="Calibri"/>
                <w:bCs/>
                <w:i/>
                <w:sz w:val="18"/>
                <w:szCs w:val="24"/>
              </w:rPr>
              <w:t>be billed</w:t>
            </w:r>
            <w:proofErr w:type="gramEnd"/>
            <w:r>
              <w:rPr>
                <w:rFonts w:ascii="Calibri" w:hAnsi="Calibri" w:cs="Calibri"/>
                <w:bCs/>
                <w:i/>
                <w:sz w:val="18"/>
                <w:szCs w:val="24"/>
              </w:rPr>
              <w:t xml:space="preserve"> for in advance of your semester away.  Scholarships and financial aid </w:t>
            </w:r>
            <w:proofErr w:type="gramStart"/>
            <w:r>
              <w:rPr>
                <w:rFonts w:ascii="Calibri" w:hAnsi="Calibri" w:cs="Calibri"/>
                <w:bCs/>
                <w:i/>
                <w:sz w:val="18"/>
                <w:szCs w:val="24"/>
              </w:rPr>
              <w:t>can be applied</w:t>
            </w:r>
            <w:proofErr w:type="gramEnd"/>
            <w:r>
              <w:rPr>
                <w:rFonts w:ascii="Calibri" w:hAnsi="Calibri" w:cs="Calibri"/>
                <w:bCs/>
                <w:i/>
                <w:sz w:val="18"/>
                <w:szCs w:val="24"/>
              </w:rPr>
              <w:t xml:space="preserve"> to this amount</w:t>
            </w:r>
            <w:r>
              <w:rPr>
                <w:rFonts w:ascii="Calibri" w:hAnsi="Calibri" w:cs="Calibri"/>
                <w:bCs/>
                <w:i/>
                <w:szCs w:val="24"/>
              </w:rPr>
              <w:t xml:space="preserve">.  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700CE3" w:rsidRDefault="00700CE3">
            <w:pPr>
              <w:widowControl w:val="0"/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00CE3" w:rsidTr="00700CE3">
        <w:trPr>
          <w:trHeight w:val="443"/>
        </w:trPr>
        <w:tc>
          <w:tcPr>
            <w:tcW w:w="10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hideMark/>
          </w:tcPr>
          <w:p w:rsidR="00700CE3" w:rsidRPr="00700CE3" w:rsidRDefault="00700CE3">
            <w:pPr>
              <w:widowControl w:val="0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</w:rPr>
            </w:pPr>
            <w:r w:rsidRPr="00700CE3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</w:rPr>
              <w:t xml:space="preserve">Additional Expenses </w:t>
            </w:r>
          </w:p>
        </w:tc>
      </w:tr>
      <w:tr w:rsidR="00700CE3" w:rsidTr="00700CE3">
        <w:trPr>
          <w:trHeight w:val="442"/>
        </w:trPr>
        <w:tc>
          <w:tcPr>
            <w:tcW w:w="10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700CE3" w:rsidRDefault="00700CE3">
            <w:pPr>
              <w:widowControl w:val="0"/>
              <w:jc w:val="center"/>
              <w:rPr>
                <w:rFonts w:ascii="Calibri" w:hAnsi="Calibri" w:cs="Calibri"/>
                <w:bCs/>
                <w:color w:val="FFFFFF"/>
                <w:sz w:val="28"/>
                <w:szCs w:val="28"/>
              </w:rPr>
            </w:pPr>
            <w:r w:rsidRPr="00700CE3">
              <w:rPr>
                <w:rFonts w:ascii="Calibri" w:hAnsi="Calibri" w:cs="Calibri"/>
                <w:bCs/>
                <w:i/>
                <w:szCs w:val="28"/>
              </w:rPr>
              <w:t xml:space="preserve">As you do while at Clark, you will incur additional expenses.  You </w:t>
            </w:r>
            <w:proofErr w:type="gramStart"/>
            <w:r w:rsidRPr="00700CE3">
              <w:rPr>
                <w:rFonts w:ascii="Calibri" w:hAnsi="Calibri" w:cs="Calibri"/>
                <w:bCs/>
                <w:i/>
                <w:szCs w:val="28"/>
              </w:rPr>
              <w:t>will not be billed</w:t>
            </w:r>
            <w:proofErr w:type="gramEnd"/>
            <w:r w:rsidRPr="00700CE3">
              <w:rPr>
                <w:rFonts w:ascii="Calibri" w:hAnsi="Calibri" w:cs="Calibri"/>
                <w:bCs/>
                <w:i/>
                <w:szCs w:val="28"/>
              </w:rPr>
              <w:t xml:space="preserve"> for these expenses, but you should incorporate these costs into your budget. Costs of what an average student may expect to spend while on site for a semester </w:t>
            </w:r>
            <w:proofErr w:type="gramStart"/>
            <w:r w:rsidRPr="00700CE3">
              <w:rPr>
                <w:rFonts w:ascii="Calibri" w:hAnsi="Calibri" w:cs="Calibri"/>
                <w:bCs/>
                <w:i/>
                <w:szCs w:val="28"/>
              </w:rPr>
              <w:t>can be found</w:t>
            </w:r>
            <w:proofErr w:type="gramEnd"/>
            <w:r w:rsidRPr="00700CE3">
              <w:rPr>
                <w:rFonts w:ascii="Calibri" w:hAnsi="Calibri" w:cs="Calibri"/>
                <w:bCs/>
                <w:i/>
                <w:szCs w:val="28"/>
              </w:rPr>
              <w:t xml:space="preserve"> on your program’s website or from Clark’s Study Abroad Office.</w:t>
            </w:r>
          </w:p>
        </w:tc>
      </w:tr>
      <w:tr w:rsidR="00700CE3" w:rsidTr="00700CE3">
        <w:tc>
          <w:tcPr>
            <w:tcW w:w="8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CE3" w:rsidRDefault="00700CE3">
            <w:pPr>
              <w:spacing w:line="360" w:lineRule="auto"/>
              <w:jc w:val="right"/>
              <w:rPr>
                <w:rFonts w:ascii="Calibri" w:hAnsi="Calibri" w:cs="Calibri"/>
                <w:b/>
                <w:bCs/>
                <w:color w:val="231F20"/>
                <w:sz w:val="22"/>
                <w:szCs w:val="28"/>
                <w:u w:val="single"/>
              </w:rPr>
            </w:pPr>
            <w:r>
              <w:rPr>
                <w:rFonts w:ascii="Calibri" w:hAnsi="Calibri" w:cs="Calibri"/>
                <w:color w:val="231F20"/>
                <w:sz w:val="22"/>
                <w:szCs w:val="24"/>
              </w:rPr>
              <w:t>International airfare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CE3" w:rsidRDefault="00700CE3">
            <w:pPr>
              <w:widowControl w:val="0"/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00CE3" w:rsidTr="00700CE3">
        <w:tc>
          <w:tcPr>
            <w:tcW w:w="8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CE3" w:rsidRDefault="00700CE3">
            <w:pPr>
              <w:spacing w:line="360" w:lineRule="auto"/>
              <w:jc w:val="right"/>
              <w:rPr>
                <w:rFonts w:ascii="Calibri" w:hAnsi="Calibri" w:cs="Calibri"/>
                <w:color w:val="231F20"/>
                <w:sz w:val="22"/>
                <w:szCs w:val="24"/>
              </w:rPr>
            </w:pPr>
            <w:r>
              <w:rPr>
                <w:rFonts w:ascii="Calibri" w:hAnsi="Calibri" w:cs="Calibri"/>
                <w:color w:val="231F20"/>
                <w:sz w:val="22"/>
                <w:szCs w:val="24"/>
              </w:rPr>
              <w:t>Food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CE3" w:rsidRDefault="00700CE3">
            <w:pPr>
              <w:widowControl w:val="0"/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00CE3" w:rsidTr="00700CE3">
        <w:tc>
          <w:tcPr>
            <w:tcW w:w="8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CE3" w:rsidRDefault="00700CE3">
            <w:pPr>
              <w:spacing w:line="360" w:lineRule="auto"/>
              <w:jc w:val="right"/>
              <w:rPr>
                <w:rFonts w:ascii="Calibri" w:hAnsi="Calibri" w:cs="Calibri"/>
                <w:color w:val="231F20"/>
                <w:sz w:val="22"/>
                <w:szCs w:val="24"/>
              </w:rPr>
            </w:pPr>
            <w:r>
              <w:rPr>
                <w:rFonts w:ascii="Calibri" w:hAnsi="Calibri" w:cs="Calibri"/>
                <w:color w:val="231F20"/>
                <w:sz w:val="22"/>
                <w:szCs w:val="24"/>
              </w:rPr>
              <w:t>Health / Immunizations / Medication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CE3" w:rsidRDefault="00700CE3">
            <w:pPr>
              <w:widowControl w:val="0"/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00CE3" w:rsidTr="00700CE3">
        <w:tc>
          <w:tcPr>
            <w:tcW w:w="8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CE3" w:rsidRDefault="00700CE3">
            <w:pPr>
              <w:spacing w:line="360" w:lineRule="auto"/>
              <w:jc w:val="right"/>
              <w:rPr>
                <w:rFonts w:ascii="Calibri" w:hAnsi="Calibri" w:cs="Calibri"/>
                <w:color w:val="231F20"/>
                <w:sz w:val="22"/>
                <w:szCs w:val="24"/>
              </w:rPr>
            </w:pPr>
            <w:r>
              <w:rPr>
                <w:rFonts w:ascii="Calibri" w:hAnsi="Calibri" w:cs="Calibri"/>
                <w:color w:val="231F20"/>
                <w:sz w:val="22"/>
                <w:szCs w:val="24"/>
              </w:rPr>
              <w:t>Local transportation (bus pass, subway pass, taxis)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CE3" w:rsidRDefault="00700CE3">
            <w:pPr>
              <w:widowControl w:val="0"/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00CE3" w:rsidTr="00700CE3">
        <w:tc>
          <w:tcPr>
            <w:tcW w:w="8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CE3" w:rsidRDefault="00700CE3">
            <w:pPr>
              <w:spacing w:line="360" w:lineRule="auto"/>
              <w:jc w:val="right"/>
              <w:rPr>
                <w:rFonts w:ascii="Calibri" w:hAnsi="Calibri" w:cs="Calibri"/>
                <w:color w:val="231F20"/>
                <w:sz w:val="22"/>
                <w:szCs w:val="24"/>
              </w:rPr>
            </w:pPr>
            <w:r>
              <w:rPr>
                <w:rFonts w:ascii="Calibri" w:hAnsi="Calibri" w:cs="Calibri"/>
                <w:color w:val="231F20"/>
                <w:sz w:val="22"/>
                <w:szCs w:val="24"/>
              </w:rPr>
              <w:t>Books &amp; Academic Supplies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CE3" w:rsidRDefault="00700CE3">
            <w:pPr>
              <w:widowControl w:val="0"/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00CE3" w:rsidTr="00700CE3">
        <w:tc>
          <w:tcPr>
            <w:tcW w:w="8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CE3" w:rsidRDefault="00700CE3">
            <w:pPr>
              <w:spacing w:line="360" w:lineRule="auto"/>
              <w:jc w:val="right"/>
              <w:rPr>
                <w:rFonts w:ascii="Calibri" w:hAnsi="Calibri" w:cs="Calibri"/>
                <w:color w:val="231F20"/>
                <w:sz w:val="22"/>
                <w:szCs w:val="24"/>
              </w:rPr>
            </w:pPr>
            <w:r>
              <w:rPr>
                <w:rFonts w:ascii="Calibri" w:hAnsi="Calibri" w:cs="Calibri"/>
                <w:color w:val="231F20"/>
                <w:sz w:val="22"/>
                <w:szCs w:val="24"/>
              </w:rPr>
              <w:t xml:space="preserve">Passport &amp; Visa materials     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CE3" w:rsidRDefault="00700CE3">
            <w:pPr>
              <w:widowControl w:val="0"/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00CE3" w:rsidTr="00700CE3">
        <w:tc>
          <w:tcPr>
            <w:tcW w:w="8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CE3" w:rsidRDefault="00700CE3">
            <w:pPr>
              <w:spacing w:line="360" w:lineRule="auto"/>
              <w:jc w:val="right"/>
              <w:rPr>
                <w:rFonts w:ascii="Calibri" w:hAnsi="Calibri" w:cs="Calibri"/>
                <w:color w:val="231F20"/>
                <w:sz w:val="22"/>
                <w:szCs w:val="24"/>
              </w:rPr>
            </w:pPr>
            <w:r>
              <w:rPr>
                <w:rFonts w:ascii="Calibri" w:hAnsi="Calibri" w:cs="Calibri"/>
                <w:color w:val="231F20"/>
                <w:sz w:val="22"/>
                <w:szCs w:val="24"/>
              </w:rPr>
              <w:t>Emergency cash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CE3" w:rsidRDefault="00700CE3">
            <w:pPr>
              <w:widowControl w:val="0"/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00CE3" w:rsidTr="00700CE3">
        <w:tc>
          <w:tcPr>
            <w:tcW w:w="8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CE3" w:rsidRDefault="00700CE3">
            <w:pPr>
              <w:spacing w:line="360" w:lineRule="auto"/>
              <w:jc w:val="right"/>
              <w:rPr>
                <w:rFonts w:ascii="Calibri" w:hAnsi="Calibri" w:cs="Calibri"/>
                <w:color w:val="231F20"/>
                <w:sz w:val="24"/>
                <w:szCs w:val="24"/>
              </w:rPr>
            </w:pPr>
            <w:r>
              <w:rPr>
                <w:rFonts w:ascii="Calibri" w:hAnsi="Calibri" w:cs="Calibri"/>
                <w:color w:val="231F20"/>
                <w:sz w:val="24"/>
                <w:szCs w:val="24"/>
              </w:rPr>
              <w:t>Independent travel/Entertainment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CE3" w:rsidRDefault="00700CE3">
            <w:pPr>
              <w:widowControl w:val="0"/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00CE3" w:rsidTr="00700CE3">
        <w:tc>
          <w:tcPr>
            <w:tcW w:w="8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700CE3" w:rsidRDefault="00700CE3">
            <w:pPr>
              <w:spacing w:line="360" w:lineRule="auto"/>
              <w:jc w:val="right"/>
              <w:rPr>
                <w:rFonts w:ascii="Calibri" w:hAnsi="Calibri" w:cs="Calibri"/>
                <w:color w:val="231F2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231F20"/>
                <w:sz w:val="24"/>
                <w:szCs w:val="24"/>
              </w:rPr>
              <w:t>Total Additional Expenses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700CE3" w:rsidRDefault="00700CE3">
            <w:pPr>
              <w:widowControl w:val="0"/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00CE3" w:rsidTr="00700CE3">
        <w:tc>
          <w:tcPr>
            <w:tcW w:w="8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CE3" w:rsidRDefault="00700CE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Scholarships &amp; Financial Aid applicable </w:t>
            </w:r>
          </w:p>
          <w:p w:rsidR="00700CE3" w:rsidRDefault="00700CE3">
            <w:pPr>
              <w:jc w:val="right"/>
              <w:rPr>
                <w:rFonts w:ascii="Calibri" w:hAnsi="Calibri" w:cs="Calibri"/>
                <w:b/>
                <w:bCs/>
                <w:color w:val="231F2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i/>
                <w:szCs w:val="24"/>
              </w:rPr>
              <w:t>(this is the total amount of scholarships and loans you receive, including State, federal, Clark-awarded and external scholarships)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CE3" w:rsidRDefault="00700CE3">
            <w:pPr>
              <w:widowControl w:val="0"/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00CE3" w:rsidTr="00700CE3">
        <w:tc>
          <w:tcPr>
            <w:tcW w:w="8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hideMark/>
          </w:tcPr>
          <w:p w:rsidR="00700CE3" w:rsidRDefault="00700CE3">
            <w:pPr>
              <w:jc w:val="right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Total Cost </w:t>
            </w:r>
          </w:p>
          <w:p w:rsidR="00700CE3" w:rsidRPr="00700CE3" w:rsidRDefault="00700CE3" w:rsidP="00700CE3">
            <w:pPr>
              <w:jc w:val="right"/>
              <w:rPr>
                <w:rFonts w:ascii="Calibri" w:hAnsi="Calibri" w:cs="Calibri"/>
                <w:b/>
                <w:bCs/>
                <w:i/>
              </w:rPr>
            </w:pPr>
            <w:r>
              <w:rPr>
                <w:rFonts w:ascii="Calibri" w:hAnsi="Calibri" w:cs="Calibri"/>
                <w:b/>
                <w:bCs/>
                <w:i/>
              </w:rPr>
              <w:t>(Total Clark charges + program charges + additional expenses) – (Scholarships &amp; financial aid)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:rsidR="00700CE3" w:rsidRDefault="00700CE3">
            <w:pPr>
              <w:widowControl w:val="0"/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F73A00" w:rsidRDefault="00F73A00" w:rsidP="00F73A00">
      <w:pPr>
        <w:autoSpaceDE w:val="0"/>
        <w:autoSpaceDN w:val="0"/>
        <w:adjustRightInd w:val="0"/>
        <w:spacing w:line="360" w:lineRule="auto"/>
        <w:rPr>
          <w:rFonts w:ascii="Calibri" w:hAnsi="Calibri" w:cs="Calibri"/>
          <w:b/>
          <w:color w:val="231F20"/>
          <w:sz w:val="24"/>
          <w:szCs w:val="24"/>
        </w:rPr>
      </w:pPr>
      <w:bookmarkStart w:id="0" w:name="_GoBack"/>
      <w:bookmarkEnd w:id="0"/>
    </w:p>
    <w:sectPr w:rsidR="00F73A00" w:rsidSect="00BB09DA">
      <w:headerReference w:type="default" r:id="rId9"/>
      <w:pgSz w:w="12240" w:h="15840" w:code="1"/>
      <w:pgMar w:top="288" w:right="720" w:bottom="720" w:left="720" w:header="0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1125" w:rsidRDefault="003F7CA9">
      <w:r>
        <w:separator/>
      </w:r>
    </w:p>
  </w:endnote>
  <w:endnote w:type="continuationSeparator" w:id="0">
    <w:p w:rsidR="00771125" w:rsidRDefault="003F7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1125" w:rsidRDefault="003F7CA9">
      <w:r>
        <w:separator/>
      </w:r>
    </w:p>
  </w:footnote>
  <w:footnote w:type="continuationSeparator" w:id="0">
    <w:p w:rsidR="00771125" w:rsidRDefault="003F7C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5DFC" w:rsidRDefault="00700CE3" w:rsidP="00861898">
    <w:pPr>
      <w:pStyle w:val="Header"/>
    </w:pPr>
  </w:p>
  <w:p w:rsidR="00745DFC" w:rsidRDefault="00700CE3" w:rsidP="0086189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A00"/>
    <w:rsid w:val="00343AE6"/>
    <w:rsid w:val="003F7CA9"/>
    <w:rsid w:val="00700CE3"/>
    <w:rsid w:val="00771125"/>
    <w:rsid w:val="007967B2"/>
    <w:rsid w:val="00914A35"/>
    <w:rsid w:val="00A70945"/>
    <w:rsid w:val="00A83985"/>
    <w:rsid w:val="00BB09DA"/>
    <w:rsid w:val="00F73A00"/>
    <w:rsid w:val="00FA744F"/>
    <w:rsid w:val="00FB1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7F2516"/>
  <w15:chartTrackingRefBased/>
  <w15:docId w15:val="{643680BF-F092-4480-B8A1-3CC15395F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3A00"/>
    <w:pPr>
      <w:spacing w:after="0" w:line="240" w:lineRule="auto"/>
    </w:pPr>
    <w:rPr>
      <w:rFonts w:ascii="Bookman" w:eastAsia="Times New Roman" w:hAnsi="Bookman" w:cs="Book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73A0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73A00"/>
    <w:rPr>
      <w:rFonts w:ascii="Bookman" w:eastAsia="Times New Roman" w:hAnsi="Bookman" w:cs="Bookman"/>
      <w:sz w:val="20"/>
      <w:szCs w:val="20"/>
    </w:rPr>
  </w:style>
  <w:style w:type="character" w:styleId="Hyperlink">
    <w:name w:val="Hyperlink"/>
    <w:rsid w:val="00F73A0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09D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09D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658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naid@clarku.edu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University</Company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 Wilson</dc:creator>
  <cp:keywords/>
  <dc:description/>
  <cp:lastModifiedBy>Evan Wilson</cp:lastModifiedBy>
  <cp:revision>2</cp:revision>
  <cp:lastPrinted>2018-05-17T17:42:00Z</cp:lastPrinted>
  <dcterms:created xsi:type="dcterms:W3CDTF">2018-12-12T18:12:00Z</dcterms:created>
  <dcterms:modified xsi:type="dcterms:W3CDTF">2018-12-12T18:12:00Z</dcterms:modified>
</cp:coreProperties>
</file>